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8102E" w:sz="12" w:space="6"/>
        </w:pBdr>
        <w:spacing w:after="120"/>
        <w:jc w:val="center"/>
      </w:pPr>
      <w:r>
        <w:rPr>
          <w:rFonts w:ascii="Arial" w:cs="Arial" w:eastAsia="Arial" w:hAnsi="Arial"/>
          <w:b/>
          <w:bCs/>
          <w:color w:val="1B3A6B"/>
          <w:sz w:val="30"/>
          <w:szCs w:val="30"/>
        </w:rPr>
        <w:t xml:space="preserve">CONTRAT DE SOUS-TRAITANCE DE TRAVAUX</w:t>
      </w:r>
    </w:p>
    <w:p>
      <w:pPr>
        <w:spacing w:after="300"/>
        <w:jc w:val="center"/>
      </w:pPr>
      <w:r>
        <w:rPr>
          <w:rFonts w:ascii="Arial" w:cs="Arial" w:eastAsia="Arial" w:hAnsi="Arial"/>
          <w:i/>
          <w:iCs/>
          <w:color w:val="555555"/>
          <w:sz w:val="18"/>
          <w:szCs w:val="18"/>
        </w:rPr>
        <w:t xml:space="preserve">Loi n° 75-1334 du 31 décembre 1975 relative à la sous-traitance</w:t>
      </w:r>
    </w:p>
    <w:p>
      <w:pPr>
        <w:spacing w:after="120"/>
        <w:jc w:val="both"/>
      </w:pPr>
      <w:r>
        <w:rPr>
          <w:rFonts w:ascii="Arial" w:cs="Arial" w:eastAsia="Arial" w:hAnsi="Arial"/>
          <w:b/>
          <w:bCs/>
          <w:sz w:val="20"/>
          <w:szCs w:val="20"/>
        </w:rPr>
        <w:t xml:space="preserve">ENTRE LES SOUSSIGNÉS :</w:t>
      </w:r>
    </w:p>
    <w:p>
      <w:pPr>
        <w:spacing w:after="140"/>
      </w:pPr>
      <w:r>
        <w:rPr>
          <w:rFonts w:ascii="Arial" w:cs="Arial" w:eastAsia="Arial" w:hAnsi="Arial"/>
          <w:b/>
          <w:bCs/>
          <w:sz w:val="20"/>
          <w:szCs w:val="20"/>
        </w:rPr>
        <w:t xml:space="preserve">L'entreprise principale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SIRET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N° TVA intracommunautaire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Siège social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Représentée par : </w:t>
      </w:r>
      <w:r>
        <w:rPr>
          <w:rFonts w:ascii="Arial" w:cs="Arial" w:eastAsia="Arial" w:hAnsi="Arial"/>
          <w:color w:val="AAAAAA"/>
          <w:sz w:val="20"/>
          <w:szCs w:val="20"/>
        </w:rPr>
        <w:t xml:space="preserve">.............................................................................</w:t>
      </w:r>
    </w:p>
    <w:p>
      <w:pPr>
        <w:spacing w:after="120"/>
        <w:jc w:val="both"/>
      </w:pPr>
      <w:r>
        <w:rPr>
          <w:rFonts w:ascii="Arial" w:cs="Arial" w:eastAsia="Arial" w:hAnsi="Arial"/>
          <w:sz w:val="20"/>
          <w:szCs w:val="20"/>
        </w:rPr>
        <w:t xml:space="preserve">ci-après « l'Entrepreneur principal », d'une part,</w:t>
      </w:r>
    </w:p>
    <w:p>
      <w:pPr>
        <w:spacing w:after="60"/>
      </w:pPr>
      <w:r>
        <w:rPr>
          <w:rFonts w:ascii="Arial" w:cs="Arial" w:eastAsia="Arial" w:hAnsi="Arial"/>
          <w:sz w:val="20"/>
          <w:szCs w:val="20"/>
        </w:rPr>
        <w:t xml:space="preserve"/>
      </w:r>
    </w:p>
    <w:p>
      <w:pPr>
        <w:spacing w:after="140"/>
      </w:pPr>
      <w:r>
        <w:rPr>
          <w:rFonts w:ascii="Arial" w:cs="Arial" w:eastAsia="Arial" w:hAnsi="Arial"/>
          <w:b/>
          <w:bCs/>
          <w:sz w:val="20"/>
          <w:szCs w:val="20"/>
        </w:rPr>
        <w:t xml:space="preserve">L'entreprise sous-traitante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SIRET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N° TVA intracommunautaire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Siège social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Représentée par : </w:t>
      </w:r>
      <w:r>
        <w:rPr>
          <w:rFonts w:ascii="Arial" w:cs="Arial" w:eastAsia="Arial" w:hAnsi="Arial"/>
          <w:color w:val="AAAAAA"/>
          <w:sz w:val="20"/>
          <w:szCs w:val="20"/>
        </w:rPr>
        <w:t xml:space="preserve">.............................................................................</w:t>
      </w:r>
    </w:p>
    <w:p>
      <w:pPr>
        <w:spacing w:after="120"/>
        <w:jc w:val="both"/>
      </w:pPr>
      <w:r>
        <w:rPr>
          <w:rFonts w:ascii="Arial" w:cs="Arial" w:eastAsia="Arial" w:hAnsi="Arial"/>
          <w:sz w:val="20"/>
          <w:szCs w:val="20"/>
        </w:rPr>
        <w:t xml:space="preserve">ci-après « le Sous-traitant », d'autre part.</w:t>
      </w:r>
    </w:p>
    <w:p>
      <w:pPr>
        <w:pStyle w:val="Heading2"/>
        <w:spacing w:after="120" w:before="280"/>
      </w:pPr>
      <w:r>
        <w:rPr>
          <w:rFonts w:ascii="Arial" w:cs="Arial" w:eastAsia="Arial" w:hAnsi="Arial"/>
          <w:b/>
          <w:bCs/>
          <w:color w:val="1B3A6B"/>
          <w:sz w:val="22"/>
          <w:szCs w:val="22"/>
        </w:rPr>
        <w:t xml:space="preserve">Article 1 — Objet et marché principal</w:t>
      </w:r>
    </w:p>
    <w:p>
      <w:pPr>
        <w:spacing w:after="120"/>
        <w:jc w:val="both"/>
      </w:pPr>
      <w:r>
        <w:rPr>
          <w:rFonts w:ascii="Arial" w:cs="Arial" w:eastAsia="Arial" w:hAnsi="Arial"/>
          <w:sz w:val="20"/>
          <w:szCs w:val="20"/>
        </w:rPr>
        <w:t xml:space="preserve">Le Sous-traitant s'engage à exécuter, sous sa responsabilité et avec ses propres moyens, les travaux désignés ci-après, dans le cadre du marché principal liant l'Entrepreneur principal au maître d'ouvrage.</w:t>
      </w:r>
    </w:p>
    <w:p>
      <w:pPr>
        <w:spacing w:after="140"/>
      </w:pPr>
      <w:r>
        <w:rPr>
          <w:rFonts w:ascii="Arial" w:cs="Arial" w:eastAsia="Arial" w:hAnsi="Arial"/>
          <w:b/>
          <w:bCs/>
          <w:sz w:val="20"/>
          <w:szCs w:val="20"/>
        </w:rPr>
        <w:t xml:space="preserve">Opération / chantier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Maître d'ouvrage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Maître d'œuvre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Nature des travaux sous-traités : </w:t>
      </w:r>
      <w:r>
        <w:rPr>
          <w:rFonts w:ascii="Arial" w:cs="Arial" w:eastAsia="Arial" w:hAnsi="Arial"/>
          <w:color w:val="AAAAAA"/>
          <w:sz w:val="20"/>
          <w:szCs w:val="20"/>
        </w:rPr>
        <w:t xml:space="preserve">.............................................................</w:t>
      </w:r>
    </w:p>
    <w:p>
      <w:pPr>
        <w:pStyle w:val="Heading2"/>
        <w:spacing w:after="120" w:before="280"/>
      </w:pPr>
      <w:r>
        <w:rPr>
          <w:rFonts w:ascii="Arial" w:cs="Arial" w:eastAsia="Arial" w:hAnsi="Arial"/>
          <w:b/>
          <w:bCs/>
          <w:color w:val="1B3A6B"/>
          <w:sz w:val="22"/>
          <w:szCs w:val="22"/>
        </w:rPr>
        <w:t xml:space="preserve">Article 2 — Acceptation et agrément des conditions de paiement</w:t>
      </w:r>
    </w:p>
    <w:p>
      <w:pPr>
        <w:spacing w:after="120"/>
        <w:jc w:val="both"/>
      </w:pPr>
      <w:r>
        <w:rPr>
          <w:rFonts w:ascii="Arial" w:cs="Arial" w:eastAsia="Arial" w:hAnsi="Arial"/>
          <w:sz w:val="20"/>
          <w:szCs w:val="20"/>
        </w:rPr>
        <w:t xml:space="preserve">Conformément aux articles 3 et 5 de la loi du 31 décembre 1975, l'Entrepreneur principal s'engage à faire accepter le Sous-traitant et agréer ses conditions de paiement par le maître d'ouvrage. À défaut, il ne peut opposer au Sous-traitant le contrat de sous-traitance.</w:t>
      </w:r>
    </w:p>
    <w:p>
      <w:pPr>
        <w:spacing w:after="60"/>
        <w:jc w:val="both"/>
      </w:pPr>
      <w:r>
        <w:rPr>
          <w:rFonts w:ascii="Arial" w:cs="Arial" w:eastAsia="Arial" w:hAnsi="Arial"/>
          <w:sz w:val="20"/>
          <w:szCs w:val="20"/>
        </w:rPr>
        <w:t xml:space="preserve">☐ Marché privé : caution personnelle et solidaire ou délégation de paiement obligatoire (article 14).</w:t>
      </w:r>
    </w:p>
    <w:p>
      <w:pPr>
        <w:spacing w:after="60"/>
        <w:jc w:val="both"/>
      </w:pPr>
      <w:r>
        <w:rPr>
          <w:rFonts w:ascii="Arial" w:cs="Arial" w:eastAsia="Arial" w:hAnsi="Arial"/>
          <w:sz w:val="20"/>
          <w:szCs w:val="20"/>
        </w:rPr>
        <w:t xml:space="preserve">☐ Marché public : déclaration de sous-traitance (formulaire DC4) et paiement direct au-delà du seuil applicable.</w:t>
      </w:r>
    </w:p>
    <w:p>
      <w:pPr>
        <w:pStyle w:val="Heading2"/>
        <w:spacing w:after="120" w:before="280"/>
      </w:pPr>
      <w:r>
        <w:rPr>
          <w:rFonts w:ascii="Arial" w:cs="Arial" w:eastAsia="Arial" w:hAnsi="Arial"/>
          <w:b/>
          <w:bCs/>
          <w:color w:val="1B3A6B"/>
          <w:sz w:val="22"/>
          <w:szCs w:val="22"/>
        </w:rPr>
        <w:t xml:space="preserve">Article 3 — Pièces contractuelles</w:t>
      </w:r>
    </w:p>
    <w:p>
      <w:pPr>
        <w:spacing w:after="120"/>
        <w:jc w:val="both"/>
      </w:pPr>
      <w:r>
        <w:rPr>
          <w:rFonts w:ascii="Arial" w:cs="Arial" w:eastAsia="Arial" w:hAnsi="Arial"/>
          <w:sz w:val="20"/>
          <w:szCs w:val="20"/>
        </w:rPr>
        <w:t xml:space="preserve">Font partie du contrat, par ordre de priorité décroissante : le présent contrat et ses avenants ; le CCTP du marché principal ; les plans d'exécution visés ; le détail quantitatif estimatif ; le planning contractuel ; le PPSPS ; le PGC de coordination SPS.</w:t>
      </w:r>
    </w:p>
    <w:p>
      <w:pPr>
        <w:pStyle w:val="Heading2"/>
        <w:spacing w:after="120" w:before="280"/>
      </w:pPr>
      <w:r>
        <w:rPr>
          <w:rFonts w:ascii="Arial" w:cs="Arial" w:eastAsia="Arial" w:hAnsi="Arial"/>
          <w:b/>
          <w:bCs/>
          <w:color w:val="1B3A6B"/>
          <w:sz w:val="22"/>
          <w:szCs w:val="22"/>
        </w:rPr>
        <w:t xml:space="preserve">Article 4 — Prix et règlement</w:t>
      </w:r>
    </w:p>
    <w:p>
      <w:pPr>
        <w:spacing w:after="120"/>
        <w:jc w:val="both"/>
      </w:pPr>
      <w:r>
        <w:rPr>
          <w:rFonts w:ascii="Arial" w:cs="Arial" w:eastAsia="Arial" w:hAnsi="Arial"/>
          <w:sz w:val="20"/>
          <w:szCs w:val="20"/>
        </w:rPr>
        <w:t xml:space="preserve">Le montant du contrat est fixé à ……………………… euros hors taxes, sur la base du détail quantitatif annexé. Le prix est ☐ ferme et définitif ☐ révisable selon la formule : ……………………………… .</w:t>
      </w:r>
    </w:p>
    <w:p>
      <w:pPr>
        <w:spacing w:after="120"/>
        <w:jc w:val="both"/>
      </w:pPr>
      <w:r>
        <w:rPr>
          <w:rFonts w:ascii="Arial" w:cs="Arial" w:eastAsia="Arial" w:hAnsi="Arial"/>
          <w:sz w:val="20"/>
          <w:szCs w:val="20"/>
        </w:rPr>
        <w:t xml:space="preserve">Les travaux sont réglés par situations mensuelles établies contradictoirement. Le délai de paiement est de ………… jours, sans pouvoir excéder 60 jours à compter de l'émission de la facture, ou 45 jours fin de mois (article L441-10 du code de commerce). Tout retard entraîne de plein droit des pénalités au taux BCE majoré de 10 points et une indemnité forfaitaire de recouvrement de 40 euros.</w:t>
      </w:r>
    </w:p>
    <w:p>
      <w:pPr>
        <w:pStyle w:val="Heading2"/>
        <w:spacing w:after="120" w:before="280"/>
      </w:pPr>
      <w:r>
        <w:rPr>
          <w:rFonts w:ascii="Arial" w:cs="Arial" w:eastAsia="Arial" w:hAnsi="Arial"/>
          <w:b/>
          <w:bCs/>
          <w:color w:val="1B3A6B"/>
          <w:sz w:val="22"/>
          <w:szCs w:val="22"/>
        </w:rPr>
        <w:t xml:space="preserve">Article 5 — Autoliquidation de la TVA</w:t>
      </w:r>
    </w:p>
    <w:p>
      <w:pPr>
        <w:spacing w:after="120"/>
        <w:jc w:val="both"/>
      </w:pPr>
      <w:r>
        <w:rPr>
          <w:rFonts w:ascii="Arial" w:cs="Arial" w:eastAsia="Arial" w:hAnsi="Arial"/>
          <w:sz w:val="20"/>
          <w:szCs w:val="20"/>
        </w:rPr>
        <w:t xml:space="preserve">Les travaux relevant du présent contrat entrent dans le champ de l'autoliquidation prévue au 2 nonies de l'article 283 du code général des impôts. Le Sous-traitant facture hors taxes et porte sur ses factures la mention « Autoliquidation ». La TVA est déclarée et acquittée par l'Entrepreneur principal.</w:t>
      </w:r>
    </w:p>
    <w:p>
      <w:pPr>
        <w:pStyle w:val="Heading2"/>
        <w:spacing w:after="120" w:before="280"/>
      </w:pPr>
      <w:r>
        <w:rPr>
          <w:rFonts w:ascii="Arial" w:cs="Arial" w:eastAsia="Arial" w:hAnsi="Arial"/>
          <w:b/>
          <w:bCs/>
          <w:color w:val="1B3A6B"/>
          <w:sz w:val="22"/>
          <w:szCs w:val="22"/>
        </w:rPr>
        <w:t xml:space="preserve">Article 6 — Garanties de paiement</w:t>
      </w:r>
    </w:p>
    <w:p>
      <w:pPr>
        <w:spacing w:after="120"/>
        <w:jc w:val="both"/>
      </w:pPr>
      <w:r>
        <w:rPr>
          <w:rFonts w:ascii="Arial" w:cs="Arial" w:eastAsia="Arial" w:hAnsi="Arial"/>
          <w:sz w:val="20"/>
          <w:szCs w:val="20"/>
        </w:rPr>
        <w:t xml:space="preserve">☐ Caution personnelle et solidaire fournie par ………………………… pour un montant de ……………… euros.</w:t>
      </w:r>
    </w:p>
    <w:p>
      <w:pPr>
        <w:spacing w:after="120"/>
        <w:jc w:val="both"/>
      </w:pPr>
      <w:r>
        <w:rPr>
          <w:rFonts w:ascii="Arial" w:cs="Arial" w:eastAsia="Arial" w:hAnsi="Arial"/>
          <w:sz w:val="20"/>
          <w:szCs w:val="20"/>
        </w:rPr>
        <w:t xml:space="preserve">☐ Délégation de paiement du maître d'ouvrage au profit du Sous-traitant, acceptée le ……/……/20…… .</w:t>
      </w:r>
    </w:p>
    <w:p>
      <w:pPr>
        <w:pBdr>
          <w:left w:val="single" w:color="C8102E" w:sz="12" w:space="8"/>
        </w:pBdr>
        <w:spacing w:after="200" w:before="100"/>
        <w:ind w:left="180"/>
      </w:pPr>
      <w:r>
        <w:rPr>
          <w:rFonts w:ascii="Arial" w:cs="Arial" w:eastAsia="Arial" w:hAnsi="Arial"/>
          <w:i/>
          <w:iCs/>
          <w:color w:val="777777"/>
          <w:sz w:val="16"/>
          <w:szCs w:val="16"/>
        </w:rPr>
        <w:t xml:space="preserve">En marché privé de bâtiment, l'absence de caution ou de délégation de paiement rend le sous-traité nul, nullité que seul le sous-traitant peut invoquer. Cette formalité n'est pas optionnelle.</w:t>
      </w:r>
    </w:p>
    <w:p>
      <w:pPr>
        <w:pStyle w:val="Heading2"/>
        <w:spacing w:after="120" w:before="280"/>
      </w:pPr>
      <w:r>
        <w:rPr>
          <w:rFonts w:ascii="Arial" w:cs="Arial" w:eastAsia="Arial" w:hAnsi="Arial"/>
          <w:b/>
          <w:bCs/>
          <w:color w:val="1B3A6B"/>
          <w:sz w:val="22"/>
          <w:szCs w:val="22"/>
        </w:rPr>
        <w:t xml:space="preserve">Article 7 — Retenue de garantie</w:t>
      </w:r>
    </w:p>
    <w:p>
      <w:pPr>
        <w:spacing w:after="120"/>
        <w:jc w:val="both"/>
      </w:pPr>
      <w:r>
        <w:rPr>
          <w:rFonts w:ascii="Arial" w:cs="Arial" w:eastAsia="Arial" w:hAnsi="Arial"/>
          <w:sz w:val="20"/>
          <w:szCs w:val="20"/>
        </w:rPr>
        <w:t xml:space="preserve">Une retenue de garantie de cinq pour cent (5 %) au maximum du montant des travaux est opérée conformément à la loi n° 71-584 du 16 juillet 1971. Elle est consignée entre les mains d'un consignataire accepté par les parties et libérée un an après la réception, sauf opposition motivée notifiée par lettre recommandée. Elle peut être remplacée à tout moment par une caution personnelle et solidaire.</w:t>
      </w:r>
    </w:p>
    <w:p>
      <w:pPr>
        <w:pStyle w:val="Heading2"/>
        <w:spacing w:after="120" w:before="280"/>
      </w:pPr>
      <w:r>
        <w:rPr>
          <w:rFonts w:ascii="Arial" w:cs="Arial" w:eastAsia="Arial" w:hAnsi="Arial"/>
          <w:b/>
          <w:bCs/>
          <w:color w:val="1B3A6B"/>
          <w:sz w:val="22"/>
          <w:szCs w:val="22"/>
        </w:rPr>
        <w:t xml:space="preserve">Article 8 — Délais et pénalités</w:t>
      </w:r>
    </w:p>
    <w:p>
      <w:pPr>
        <w:spacing w:after="120"/>
        <w:jc w:val="both"/>
      </w:pPr>
      <w:r>
        <w:rPr>
          <w:rFonts w:ascii="Arial" w:cs="Arial" w:eastAsia="Arial" w:hAnsi="Arial"/>
          <w:sz w:val="20"/>
          <w:szCs w:val="20"/>
        </w:rPr>
        <w:t xml:space="preserve">Les travaux débutent le ……/……/20…… pour une durée de ………… jours ouvrés. En cas de retard imputable au Sous-traitant, une pénalité de ………… euros par jour calendaire est applicable, plafonnée à ………… % du montant du contrat.</w:t>
      </w:r>
    </w:p>
    <w:p>
      <w:pPr>
        <w:pStyle w:val="Heading2"/>
        <w:spacing w:after="120" w:before="280"/>
      </w:pPr>
      <w:r>
        <w:rPr>
          <w:rFonts w:ascii="Arial" w:cs="Arial" w:eastAsia="Arial" w:hAnsi="Arial"/>
          <w:b/>
          <w:bCs/>
          <w:color w:val="1B3A6B"/>
          <w:sz w:val="22"/>
          <w:szCs w:val="22"/>
        </w:rPr>
        <w:t xml:space="preserve">Article 9 — Obligations du Sous-traitant</w:t>
      </w:r>
    </w:p>
    <w:p>
      <w:pPr>
        <w:pStyle w:val="ListParagraph"/>
        <w:numPr>
          <w:ilvl w:val="0"/>
          <w:numId w:val="2"/>
        </w:numPr>
        <w:spacing w:after="60"/>
      </w:pPr>
      <w:r>
        <w:rPr>
          <w:rFonts w:ascii="Arial" w:cs="Arial" w:eastAsia="Arial" w:hAnsi="Arial"/>
          <w:sz w:val="20"/>
          <w:szCs w:val="20"/>
        </w:rPr>
        <w:t xml:space="preserve">Exécuter les travaux dans les règles de l'art, conformément aux DTU et normes en vigueur.</w:t>
      </w:r>
    </w:p>
    <w:p>
      <w:pPr>
        <w:pStyle w:val="ListParagraph"/>
        <w:numPr>
          <w:ilvl w:val="0"/>
          <w:numId w:val="2"/>
        </w:numPr>
        <w:spacing w:after="60"/>
      </w:pPr>
      <w:r>
        <w:rPr>
          <w:rFonts w:ascii="Arial" w:cs="Arial" w:eastAsia="Arial" w:hAnsi="Arial"/>
          <w:sz w:val="20"/>
          <w:szCs w:val="20"/>
        </w:rPr>
        <w:t xml:space="preserve">Justifier d'une assurance responsabilité civile et d'une assurance décennale couvrant l'activité exercée, et en produire l'attestation avant tout démarrage.</w:t>
      </w:r>
    </w:p>
    <w:p>
      <w:pPr>
        <w:pStyle w:val="ListParagraph"/>
        <w:numPr>
          <w:ilvl w:val="0"/>
          <w:numId w:val="2"/>
        </w:numPr>
        <w:spacing w:after="60"/>
      </w:pPr>
      <w:r>
        <w:rPr>
          <w:rFonts w:ascii="Arial" w:cs="Arial" w:eastAsia="Arial" w:hAnsi="Arial"/>
          <w:sz w:val="20"/>
          <w:szCs w:val="20"/>
        </w:rPr>
        <w:t xml:space="preserve">Remettre l'attestation de vigilance URSSAF de moins de six mois et la renouveler tous les six mois (article L8222-1 du code du travail).</w:t>
      </w:r>
    </w:p>
    <w:p>
      <w:pPr>
        <w:pStyle w:val="ListParagraph"/>
        <w:numPr>
          <w:ilvl w:val="0"/>
          <w:numId w:val="2"/>
        </w:numPr>
        <w:spacing w:after="60"/>
      </w:pPr>
      <w:r>
        <w:rPr>
          <w:rFonts w:ascii="Arial" w:cs="Arial" w:eastAsia="Arial" w:hAnsi="Arial"/>
          <w:sz w:val="20"/>
          <w:szCs w:val="20"/>
        </w:rPr>
        <w:t xml:space="preserve">Déclarer tout salarié détaché et détenir les cartes BTP de son personnel.</w:t>
      </w:r>
    </w:p>
    <w:p>
      <w:pPr>
        <w:pStyle w:val="ListParagraph"/>
        <w:numPr>
          <w:ilvl w:val="0"/>
          <w:numId w:val="2"/>
        </w:numPr>
        <w:spacing w:after="60"/>
      </w:pPr>
      <w:r>
        <w:rPr>
          <w:rFonts w:ascii="Arial" w:cs="Arial" w:eastAsia="Arial" w:hAnsi="Arial"/>
          <w:sz w:val="20"/>
          <w:szCs w:val="20"/>
        </w:rPr>
        <w:t xml:space="preserve">Respecter le PPSPS, le PGC et les consignes du coordonnateur SPS.</w:t>
      </w:r>
    </w:p>
    <w:p>
      <w:pPr>
        <w:pStyle w:val="ListParagraph"/>
        <w:numPr>
          <w:ilvl w:val="0"/>
          <w:numId w:val="2"/>
        </w:numPr>
        <w:spacing w:after="60"/>
      </w:pPr>
      <w:r>
        <w:rPr>
          <w:rFonts w:ascii="Arial" w:cs="Arial" w:eastAsia="Arial" w:hAnsi="Arial"/>
          <w:sz w:val="20"/>
          <w:szCs w:val="20"/>
        </w:rPr>
        <w:t xml:space="preserve">Ne pas sous-traiter tout ou partie des travaux sans accord écrit préalable.</w:t>
      </w:r>
    </w:p>
    <w:p>
      <w:pPr>
        <w:pStyle w:val="ListParagraph"/>
        <w:numPr>
          <w:ilvl w:val="0"/>
          <w:numId w:val="2"/>
        </w:numPr>
        <w:spacing w:after="60"/>
      </w:pPr>
      <w:r>
        <w:rPr>
          <w:rFonts w:ascii="Arial" w:cs="Arial" w:eastAsia="Arial" w:hAnsi="Arial"/>
          <w:sz w:val="20"/>
          <w:szCs w:val="20"/>
        </w:rPr>
        <w:t xml:space="preserve">Évacuer ses déchets et laisser les lieux propres après intervention.</w:t>
      </w:r>
    </w:p>
    <w:p>
      <w:pPr>
        <w:pStyle w:val="Heading2"/>
        <w:spacing w:after="120" w:before="280"/>
      </w:pPr>
      <w:r>
        <w:rPr>
          <w:rFonts w:ascii="Arial" w:cs="Arial" w:eastAsia="Arial" w:hAnsi="Arial"/>
          <w:b/>
          <w:bCs/>
          <w:color w:val="1B3A6B"/>
          <w:sz w:val="22"/>
          <w:szCs w:val="22"/>
        </w:rPr>
        <w:t xml:space="preserve">Article 10 — Obligations de l'Entrepreneur principal</w:t>
      </w:r>
    </w:p>
    <w:p>
      <w:pPr>
        <w:pStyle w:val="ListParagraph"/>
        <w:numPr>
          <w:ilvl w:val="0"/>
          <w:numId w:val="2"/>
        </w:numPr>
        <w:spacing w:after="60"/>
      </w:pPr>
      <w:r>
        <w:rPr>
          <w:rFonts w:ascii="Arial" w:cs="Arial" w:eastAsia="Arial" w:hAnsi="Arial"/>
          <w:sz w:val="20"/>
          <w:szCs w:val="20"/>
        </w:rPr>
        <w:t xml:space="preserve">Mettre à disposition les zones de travail, plans visés et accès nécessaires.</w:t>
      </w:r>
    </w:p>
    <w:p>
      <w:pPr>
        <w:pStyle w:val="ListParagraph"/>
        <w:numPr>
          <w:ilvl w:val="0"/>
          <w:numId w:val="2"/>
        </w:numPr>
        <w:spacing w:after="60"/>
      </w:pPr>
      <w:r>
        <w:rPr>
          <w:rFonts w:ascii="Arial" w:cs="Arial" w:eastAsia="Arial" w:hAnsi="Arial"/>
          <w:sz w:val="20"/>
          <w:szCs w:val="20"/>
        </w:rPr>
        <w:t xml:space="preserve">Fournir les branchements provisoires en eau et électricité, sauf stipulation contraire.</w:t>
      </w:r>
    </w:p>
    <w:p>
      <w:pPr>
        <w:pStyle w:val="ListParagraph"/>
        <w:numPr>
          <w:ilvl w:val="0"/>
          <w:numId w:val="2"/>
        </w:numPr>
        <w:spacing w:after="60"/>
      </w:pPr>
      <w:r>
        <w:rPr>
          <w:rFonts w:ascii="Arial" w:cs="Arial" w:eastAsia="Arial" w:hAnsi="Arial"/>
          <w:sz w:val="20"/>
          <w:szCs w:val="20"/>
        </w:rPr>
        <w:t xml:space="preserve">Assurer la coordination générale et le respect du planning.</w:t>
      </w:r>
    </w:p>
    <w:p>
      <w:pPr>
        <w:pStyle w:val="ListParagraph"/>
        <w:numPr>
          <w:ilvl w:val="0"/>
          <w:numId w:val="2"/>
        </w:numPr>
        <w:spacing w:after="60"/>
      </w:pPr>
      <w:r>
        <w:rPr>
          <w:rFonts w:ascii="Arial" w:cs="Arial" w:eastAsia="Arial" w:hAnsi="Arial"/>
          <w:sz w:val="20"/>
          <w:szCs w:val="20"/>
        </w:rPr>
        <w:t xml:space="preserve">Vérifier semestriellement la vigilance URSSAF du Sous-traitant (obligation de donneur d'ordre).</w:t>
      </w:r>
    </w:p>
    <w:p>
      <w:pPr>
        <w:pStyle w:val="Heading2"/>
        <w:spacing w:after="120" w:before="280"/>
      </w:pPr>
      <w:r>
        <w:rPr>
          <w:rFonts w:ascii="Arial" w:cs="Arial" w:eastAsia="Arial" w:hAnsi="Arial"/>
          <w:b/>
          <w:bCs/>
          <w:color w:val="1B3A6B"/>
          <w:sz w:val="22"/>
          <w:szCs w:val="22"/>
        </w:rPr>
        <w:t xml:space="preserve">Article 11 — Réception</w:t>
      </w:r>
    </w:p>
    <w:p>
      <w:pPr>
        <w:spacing w:after="120"/>
        <w:jc w:val="both"/>
      </w:pPr>
      <w:r>
        <w:rPr>
          <w:rFonts w:ascii="Arial" w:cs="Arial" w:eastAsia="Arial" w:hAnsi="Arial"/>
          <w:sz w:val="20"/>
          <w:szCs w:val="20"/>
        </w:rPr>
        <w:t xml:space="preserve">Les travaux sous-traités font l'objet d'une réception contradictoire par procès-verbal. La réception du marché principal ne vaut pas réception des travaux sous-traités.</w:t>
      </w:r>
    </w:p>
    <w:p>
      <w:pPr>
        <w:pStyle w:val="Heading2"/>
        <w:spacing w:after="120" w:before="280"/>
      </w:pPr>
      <w:r>
        <w:rPr>
          <w:rFonts w:ascii="Arial" w:cs="Arial" w:eastAsia="Arial" w:hAnsi="Arial"/>
          <w:b/>
          <w:bCs/>
          <w:color w:val="1B3A6B"/>
          <w:sz w:val="22"/>
          <w:szCs w:val="22"/>
        </w:rPr>
        <w:t xml:space="preserve">Article 12 — Résiliation</w:t>
      </w:r>
    </w:p>
    <w:p>
      <w:pPr>
        <w:spacing w:after="120"/>
        <w:jc w:val="both"/>
      </w:pPr>
      <w:r>
        <w:rPr>
          <w:rFonts w:ascii="Arial" w:cs="Arial" w:eastAsia="Arial" w:hAnsi="Arial"/>
          <w:sz w:val="20"/>
          <w:szCs w:val="20"/>
        </w:rPr>
        <w:t xml:space="preserve">En cas de manquement grave et après mise en demeure restée sans effet pendant quinze jours, l'Entrepreneur principal peut résilier le contrat aux torts du Sous-traitant et faire achever les travaux par un tiers à ses frais.</w:t>
      </w:r>
    </w:p>
    <w:p>
      <w:pPr>
        <w:pStyle w:val="Heading2"/>
        <w:spacing w:after="120" w:before="280"/>
      </w:pPr>
      <w:r>
        <w:rPr>
          <w:rFonts w:ascii="Arial" w:cs="Arial" w:eastAsia="Arial" w:hAnsi="Arial"/>
          <w:b/>
          <w:bCs/>
          <w:color w:val="1B3A6B"/>
          <w:sz w:val="22"/>
          <w:szCs w:val="22"/>
        </w:rPr>
        <w:t xml:space="preserve">Article 13 — Litiges</w:t>
      </w:r>
    </w:p>
    <w:p>
      <w:pPr>
        <w:spacing w:after="120"/>
        <w:jc w:val="both"/>
      </w:pPr>
      <w:r>
        <w:rPr>
          <w:rFonts w:ascii="Arial" w:cs="Arial" w:eastAsia="Arial" w:hAnsi="Arial"/>
          <w:sz w:val="20"/>
          <w:szCs w:val="20"/>
        </w:rPr>
        <w:t xml:space="preserve">À défaut de règlement amiable, tout litige relève de la compétence du tribunal de commerce de ………………………… .</w:t>
      </w:r>
    </w:p>
    <w:p>
      <w:pPr>
        <w:spacing w:after="60"/>
      </w:pPr>
      <w:r>
        <w:rPr>
          <w:rFonts w:ascii="Arial" w:cs="Arial" w:eastAsia="Arial" w:hAnsi="Arial"/>
          <w:sz w:val="20"/>
          <w:szCs w:val="20"/>
        </w:rPr>
        <w:t xml:space="preserve"/>
      </w:r>
    </w:p>
    <w:p>
      <w:pPr>
        <w:spacing w:after="120"/>
        <w:jc w:val="both"/>
      </w:pPr>
      <w:r>
        <w:rPr>
          <w:rFonts w:ascii="Arial" w:cs="Arial" w:eastAsia="Arial" w:hAnsi="Arial"/>
          <w:sz w:val="20"/>
          <w:szCs w:val="20"/>
        </w:rPr>
        <w:t xml:space="preserve">Fait à ……………………………, le ……/……/20……, en deux exemplaires.</w:t>
      </w:r>
    </w:p>
    <w:tbl>
      <w:tblPr>
        <w:tblW w:type="dxa" w:w="9026"/>
        <w:tblBorders>
          <w:top w:val="none"/>
          <w:left w:val="none"/>
          <w:bottom w:val="none"/>
          <w:right w:val="none"/>
          <w:insideH w:val="none"/>
          <w:insideV w:val="none"/>
        </w:tblBorders>
      </w:tblPr>
      <w:tblGrid>
        <w:gridCol w:w="4513"/>
        <w:gridCol w:w="4513"/>
      </w:tblGrid>
      <w:tr>
        <w:tc>
          <w:tcPr>
            <w:tcW w:type="dxa" w:w="4513"/>
          </w:tcPr>
          <w:p>
            <w:pPr>
              <w:spacing w:after="60" w:before="300"/>
              <w:jc w:val="center"/>
            </w:pPr>
            <w:r>
              <w:rPr>
                <w:rFonts w:ascii="Arial" w:cs="Arial" w:eastAsia="Arial" w:hAnsi="Arial"/>
                <w:b/>
                <w:bCs/>
                <w:sz w:val="18"/>
                <w:szCs w:val="18"/>
              </w:rPr>
              <w:t xml:space="preserve">L'Entrepreneur principal</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c>
          <w:tcPr>
            <w:tcW w:type="dxa" w:w="4513"/>
          </w:tcPr>
          <w:p>
            <w:pPr>
              <w:spacing w:after="60" w:before="300"/>
              <w:jc w:val="center"/>
            </w:pPr>
            <w:r>
              <w:rPr>
                <w:rFonts w:ascii="Arial" w:cs="Arial" w:eastAsia="Arial" w:hAnsi="Arial"/>
                <w:b/>
                <w:bCs/>
                <w:sz w:val="18"/>
                <w:szCs w:val="18"/>
              </w:rPr>
              <w:t xml:space="preserve">Le Sous-traitant</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r>
    </w:tbl>
    <w:p>
      <w:pPr>
        <w:pBdr>
          <w:left w:val="single" w:color="C8102E" w:sz="12" w:space="8"/>
        </w:pBdr>
        <w:spacing w:after="200" w:before="100"/>
        <w:ind w:left="180"/>
      </w:pPr>
      <w:r>
        <w:rPr>
          <w:rFonts w:ascii="Arial" w:cs="Arial" w:eastAsia="Arial" w:hAnsi="Arial"/>
          <w:i/>
          <w:iCs/>
          <w:color w:val="777777"/>
          <w:sz w:val="16"/>
          <w:szCs w:val="16"/>
        </w:rPr>
        <w:t xml:space="preserve">Modèle fourni à titre indicatif par FranceBTP Connect. Il ne constitue pas un conseil juridique. À adapter à votre convention collective, à votre situation et à faire valider par votre conseil avant signature.</w:t>
      </w:r>
    </w:p>
    <w:sectPr>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2026-08-13T19:50:56.564Z</dcterms:created>
  <dcterms:modified xsi:type="dcterms:W3CDTF">2026-08-13T19:50:56.564Z</dcterms:modified>
</cp:coreProperties>
</file>

<file path=docProps/custom.xml><?xml version="1.0" encoding="utf-8"?>
<Properties xmlns="http://schemas.openxmlformats.org/officeDocument/2006/custom-properties" xmlns:vt="http://schemas.openxmlformats.org/officeDocument/2006/docPropsVTypes"/>
</file>