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8102E" w:sz="12" w:space="6"/>
        </w:pBdr>
        <w:spacing w:after="120"/>
        <w:jc w:val="center"/>
      </w:pPr>
      <w:r>
        <w:rPr>
          <w:rFonts w:ascii="Arial" w:cs="Arial" w:eastAsia="Arial" w:hAnsi="Arial"/>
          <w:b/>
          <w:bCs/>
          <w:color w:val="1B3A6B"/>
          <w:sz w:val="30"/>
          <w:szCs w:val="30"/>
        </w:rPr>
        <w:t xml:space="preserve">CONTRAT DE TRAVAIL À DURÉE INDÉTERMINÉE</w:t>
      </w:r>
    </w:p>
    <w:p>
      <w:pPr>
        <w:spacing w:after="300"/>
        <w:jc w:val="center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Secteur du Bâtiment et des Travaux Publics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ENTRE LES SOUSSIGNÉS :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La société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Forme juridique et capital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Siège social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SIRET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Code APE / NAF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Représentée par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Convention collective applicable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Organisme de retraite complémentaire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d'une part,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Monsieur / Madame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Né(e) le et à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Nationalité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N° de sécurité sociale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Demeurant à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.................................................................................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d'autre part.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1 — Engagement et fonctions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La société engage le salarié en qualité de ………………………………, position/coefficient ………………, à compter du ……/……/20…… . Le salarié exercera les missions correspondant à sa qualification, telles que définies par la classification de la convention collective applicable.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2 — Période d'essai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Le contrat ne devient définitif qu'à l'issue d'une période d'essai de ……………, renouvelable une fois par accord écrit des parties. Durées maximales légales : deux mois pour les ouvriers et employés, trois mois pour les agents de maîtrise et techniciens, quatre mois pour les cadres (article L1221-19 du code du travail), sous réserve des dispositions conventionnelles applicables.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3 — Lieu de travail et mobilité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Compte tenu de la nature de l'activité, le salarié exercera ses fonctions sur les différents chantiers de l'entreprise situés dans la zone géographique suivante : ……………………………………………… . Il accepte expressément ce principe de mobilité, inhérent à l'activité du bâtiment et des travaux publics.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4 — Durée du travail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La durée du travail est fixée à 35 heures hebdomadaires, soit 151,67 heures mensuelles. Les heures supplémentaires éventuelles sont majorées de 25 % pour les huit premières heures hebdomadaires et de 50 % au-delà, sauf dispositions conventionnelles plus favorables. Les horaires sont fixés par l'employeur en fonction des impératifs des chantiers.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5 — Rémunération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Le salarié percevra une rémunération mensuelle brute de ……………… euros pour l'horaire de référence, versée mensuellement à terme échu. S'y ajoutent, selon les conditions conventionnelles : l'indemnité de trajet, l'indemnité de transport et l'indemnité de repas correspondant à la zone du chantier.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6 — Congés payés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Les congés payés du salarié sont gérés par la caisse de congés payés du BTP (CIBTP) à laquelle l'entreprise est affiliée sous le numéro …………………… . Le salarié acquiert 2,5 jours ouvrables de congé par mois de travail effectif.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7 — Protection sociale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Le salarié bénéficie du régime de prévoyance et de la complémentaire santé obligatoires prévus par la convention collective, ainsi que du régime de retraite complémentaire Agirc-Arrco. Une carte d'identification professionnelle du BTP (carte BTP) lui sera délivrée conformément aux articles L8291-1 et suivants du code du travail.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8 — Santé et sécurité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Le salarié s'engage à respecter les consignes de sécurité, à porter les équipements de protection individuelle mis à sa disposition et à signaler sans délai toute situation dangereuse. Il suivra les formations à la sécurité obligatoires et se soumettra aux visites médicales du travail.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9 — Obligations générales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Le salarié s'engage à respecter le règlement intérieur, à observer une obligation de discrétion sur les informations de l'entreprise et de ses clients, et à restituer tout matériel confié en fin de contrat.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10 — Rupture du contrat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Le contrat peut être rompu dans les conditions prévues par le code du travail et la convention collective, sous réserve du respect des préavis applicables.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Fait à ……………………………, le ……/……/20……, en deux exemplaires.</w:t>
      </w:r>
    </w:p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L'employeur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13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 salarié (lu et approuvé)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left w:val="single" w:color="C8102E" w:sz="12" w:space="8"/>
        </w:pBdr>
        <w:spacing w:after="200" w:before="100"/>
        <w:ind w:left="18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Modèle fourni à titre indicatif par FranceBTP Connect. Il ne constitue pas un conseil juridique. À adapter à votre convention collective, à votre situation et à faire valider par votre conseil avant signature.</w:t>
      </w:r>
    </w:p>
    <w:sectPr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2026-08-13T19:50:56.249Z</dcterms:created>
  <dcterms:modified xsi:type="dcterms:W3CDTF">2026-08-13T19:50:56.262Z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